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AA5A46" w14:paraId="77FA677C" w14:textId="77777777">
      <w:pPr>
        <w:pStyle w:val="paragraph"/>
      </w:pPr>
    </w:p>
    <w:p w:rsidR="006B4A19" w:rsidRPr="00132044" w:rsidP="008558C9" w14:paraId="5C60EA1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D008F48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69856F5B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132044">
        <w:rPr>
          <w:rFonts w:asciiTheme="minorEastAsia" w:hAnsiTheme="minorEastAsia" w:cs="굴림" w:hint="eastAsia"/>
          <w:color w:val="000000"/>
          <w:sz w:val="36"/>
          <w:szCs w:val="36"/>
        </w:rPr>
        <w:t>치약(화장품) 안전성 평가 보고서</w:t>
      </w:r>
    </w:p>
    <w:p w:rsidR="006B4A19" w:rsidRPr="00132044" w:rsidP="008558C9" w14:paraId="3F0DEAB9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3F28DEE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B3BAB51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B2823AF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6DEDC192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527E57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699ED0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A2607BF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386CF7" w14:paraId="7003EFD8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어린이 충치 예방 치약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(안전성 평가 보고서)</w:t>
      </w:r>
    </w:p>
    <w:p w:rsidR="006B4A19" w:rsidRPr="00132044" w:rsidP="008558C9" w14:paraId="621519EB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</w:p>
    <w:p w:rsidR="006B4A19" w:rsidRPr="00132044" w:rsidP="008558C9" w14:paraId="5E902E4D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</w:p>
    <w:p w:rsidR="006B4A19" w:rsidRPr="00132044" w:rsidP="00386CF7" w14:paraId="5C4D2952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074A6F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xxxxxxxx</w:t>
      </w:r>
    </w:p>
    <w:p w:rsidR="006B4A19" w:rsidRPr="00132044" w:rsidP="00386CF7" w14:paraId="17371777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</w:p>
    <w:p w:rsidR="006B4A19" w:rsidRPr="00132044" w:rsidP="00386CF7" w14:paraId="378C008E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10FE16A3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EB736E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55C1B433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032AED9C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2044" w:rsidP="008558C9" w14:paraId="20EA2E6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5303BA4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8558C9" w14:paraId="510E2CDA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8558C9" w14:paraId="27DB9917" w14:textId="14ABDDC8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8558C9" w14:paraId="2E8CBE6E" w14:textId="4DC9BB51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4.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설계 원칙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</w:p>
    <w:p w:rsidR="006B4A19" w:rsidRPr="00132044" w:rsidP="008558C9" w14:paraId="687248D7" w14:textId="332E1BB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5.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</w:p>
    <w:p w:rsidR="006B4A19" w:rsidRPr="00132044" w:rsidP="008558C9" w14:paraId="036159D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>9</w:t>
      </w:r>
    </w:p>
    <w:p w:rsidR="006B4A19" w:rsidRPr="00132044" w:rsidP="008558C9" w14:paraId="48C1537E" w14:textId="113C2B29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7.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3BACEB4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73CBE3B4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9.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6FEB5E75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10.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3393A843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11.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42AAF29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:rsidR="006B4A19" w:rsidRPr="00132044" w:rsidP="008558C9" w14:paraId="332AA743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65F859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994B9F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9ADFBF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2A8DD8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43480605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6B4A19" w14:paraId="3D1BD691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개요</w:t>
      </w:r>
    </w:p>
    <w:p w:rsidR="006B4A19" w:rsidRPr="00132044" w:rsidP="008558C9" w14:paraId="70034FF7" w14:textId="5265EF4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어린이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충치 예방 치약은 구강 청결 용품(치약)으로, 어린이의 구강 및 치아 세정에 사용한다. 용량은 약 완두콩 크기로, 양치 후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내고, 사용 후 입을 헹구며, 매일 2회 양치한다.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)” 관련 규정에 의거하여, 제품의 미생물, 유해 물질,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등을 측정하고,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물,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하이드레이티드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실리카, 글리세린, 폴리에틸렌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-8,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라우릴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셀룰로오스 검,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자일리톨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테트라소듐파이로포스페이트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스쿠랄로스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 종 성분에 존재할 가능성이 있는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에틸렌글리콜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 종 위험 물질에 대해 안전성 평가를 실시했다. 결과에 따르면, 해당 제품은 정상적이고 합리적이며 예측 가능한 사용 상황에서 인체 건강에 해를 끼치지 않는다. </w:t>
      </w:r>
    </w:p>
    <w:p w:rsidR="006B4A19" w:rsidRPr="00132044" w:rsidP="006B4A19" w14:paraId="4A1FA806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132044" w:rsidP="006B4A19" w14:paraId="3B7DBA3C" w14:textId="77777777">
      <w:pPr>
        <w:numPr>
          <w:ilvl w:val="0"/>
          <w:numId w:val="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어린이 충치 예방 치약 </w:t>
      </w:r>
    </w:p>
    <w:p w:rsidR="006B4A19" w:rsidRPr="00132044" w:rsidP="006B4A19" w14:paraId="615E5148" w14:textId="77777777">
      <w:pPr>
        <w:numPr>
          <w:ilvl w:val="0"/>
          <w:numId w:val="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치약을 칫솔에 완두콩 크기만큼 짜서 양치한다. 양치를 마친 후 깨끗한 물로 입안을 헹구고 깨끗이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낸다. 양치질은 매일 최소 2회를 권장한다.</w:t>
      </w:r>
    </w:p>
    <w:p w:rsidR="006B4A19" w:rsidRPr="00132044" w:rsidP="006B4A19" w14:paraId="7A612DEA" w14:textId="77777777">
      <w:pPr>
        <w:numPr>
          <w:ilvl w:val="0"/>
          <w:numId w:val="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대상 집단: 12세 이하 어린이</w:t>
      </w:r>
    </w:p>
    <w:p w:rsidR="006B4A19" w:rsidRPr="00132044" w:rsidP="006B4A19" w14:paraId="7D2B6663" w14:textId="77777777">
      <w:pPr>
        <w:numPr>
          <w:ilvl w:val="0"/>
          <w:numId w:val="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사용량(g/day): 1.72(그 중 1.06g은 경구 섭취)*</w:t>
      </w:r>
    </w:p>
    <w:p w:rsidR="006B4A19" w:rsidRPr="00132044" w:rsidP="006B4A19" w14:paraId="0503D1E3" w14:textId="77777777">
      <w:pPr>
        <w:numPr>
          <w:ilvl w:val="0"/>
          <w:numId w:val="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 1.0(경구 섭취의 경우 1.06g)</w:t>
      </w:r>
    </w:p>
    <w:p w:rsidR="006B4A19" w:rsidRPr="00132044" w:rsidP="006B4A19" w14:paraId="7E97B6EB" w14:textId="2865AAE3">
      <w:pPr>
        <w:numPr>
          <w:ilvl w:val="0"/>
          <w:numId w:val="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F861AE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:rsidR="006B4A19" w:rsidRPr="00132044" w:rsidP="008558C9" w14:paraId="1D51643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주: 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2.5세 어린이의 치약 사용량을 참고하였으며, 데이터 출처는 네덜란드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국립공중보건환경연구원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(RIVM)이 발표한 화장품 관련 보고서 Cosmetics Fact Sheet (RIVM report 320104001/2006)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</w:t>
      </w:r>
    </w:p>
    <w:p w:rsidR="006B4A19" w:rsidRPr="00132044" w:rsidP="008558C9" w14:paraId="567D410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861AE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체중은 2.5세 어린이의 체중(12.5kg)을 참고하였으며, 데이터 출처는 RIVM이 발표한 화장품 관련 보고서 Cosmetics Fact Sheet (RIVM report 320104001/2006)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계산했다.</w:t>
      </w:r>
    </w:p>
    <w:p w:rsidR="006B4A19" w:rsidRPr="00132044" w:rsidP="006B4A19" w14:paraId="1E33ACB7" w14:textId="08349261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RPr="00132044" w:rsidP="008558C9" w14:paraId="3F75AACB" w14:textId="72ACE63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사용된 원료는 모두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)”, “기사용화장품 원료목록(2021년판)” 또는 “GB 22115-2008 치약용원료규범”에 이미 수록되어 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참조하며, 제품 실제 성분 함량표는 표2를 참조한다.</w:t>
      </w:r>
    </w:p>
    <w:p w:rsidR="006B4A19" w:rsidRPr="00132044" w:rsidP="008558C9" w14:paraId="2025FE12" w14:textId="50DBC4A3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2233"/>
        <w:gridCol w:w="2499"/>
        <w:gridCol w:w="1208"/>
        <w:gridCol w:w="1189"/>
        <w:gridCol w:w="1956"/>
      </w:tblGrid>
      <w:tr w14:paraId="0B4228DA" w14:textId="77777777" w:rsidTr="008558C9">
        <w:tblPrEx>
          <w:tblW w:w="0" w:type="auto"/>
          <w:tblLook w:val="04A0"/>
        </w:tblPrEx>
        <w:trPr>
          <w:trHeight w:val="1185"/>
        </w:trPr>
        <w:tc>
          <w:tcPr>
            <w:tcW w:w="582" w:type="dxa"/>
            <w:tcBorders>
              <w:top w:val="single" w:sz="4" w:space="0" w:color="0A0000"/>
              <w:left w:val="single" w:sz="4" w:space="0" w:color="0A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C90C79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33" w:type="dxa"/>
            <w:tcBorders>
              <w:top w:val="single" w:sz="4" w:space="0" w:color="0A0000"/>
              <w:left w:val="single" w:sz="4" w:space="0" w:color="000000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945B78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499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29EC7E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INCI명칭/</w:t>
            </w:r>
          </w:p>
          <w:p w:rsidR="006B4A19" w:rsidRPr="00132044" w:rsidP="00BB78A7" w14:paraId="3068C20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08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DE8C58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</w:t>
            </w:r>
          </w:p>
          <w:p w:rsidR="006B4A19" w:rsidRPr="00132044" w:rsidP="00BB78A7" w14:paraId="25EEF2A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목적</w:t>
            </w:r>
          </w:p>
        </w:tc>
        <w:tc>
          <w:tcPr>
            <w:tcW w:w="1189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AE0FC3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</w:t>
            </w: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기사용원료목록”중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의</w:t>
            </w: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순번</w:t>
            </w:r>
          </w:p>
        </w:tc>
        <w:tc>
          <w:tcPr>
            <w:tcW w:w="1956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4389F4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14:paraId="73C239D3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425FB6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02B625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B6839A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SORBITOL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877E52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A9DDE5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05895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567375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1811ACFA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vAlign w:val="center"/>
            <w:hideMark/>
          </w:tcPr>
          <w:p w:rsidR="006B4A19" w:rsidRPr="00132044" w:rsidP="00BB78A7" w14:paraId="7D314936" w14:textId="777777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6D29CA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8D1364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vAlign w:val="center"/>
            <w:hideMark/>
          </w:tcPr>
          <w:p w:rsidR="006B4A19" w:rsidRPr="00132044" w:rsidP="00BB78A7" w14:paraId="4D1CC3D8" w14:textId="777777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392252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8A9759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1F5B13A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925BB6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7941ED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하이드레이티드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실리카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86EDFB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HYDRATED SILICA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089344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마찰제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AA6E4C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06271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FA46CF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324EAA2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99CC1F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DC99D3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AA0E5D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99EAFB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7C8D3E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E753FF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40E1177D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A4A304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B29FA9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47E550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D91E5C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1281DF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02421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B135CE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6E5E3DB5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64EE80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C27672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폴리에틸렌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-8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EACEF2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B5F76A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856883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04033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AB50A6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B254061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0722C7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72161E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라우릴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설페이트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6B567A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LAURYL SULFATE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8566D3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기포제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6A911B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08346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F18F2B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24F818A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F23D60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CD6B01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셀룰로오스 검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32D811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CELLULOSE GUM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3BE7EE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E17A0E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06965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B84020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7E2655F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F297CA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59FCD44" w14:textId="79BC2D6E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E925ED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FLAVOR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04CBC8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AE9C59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06156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54DE1F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15EB234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357C08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882052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자일리톨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F0BE07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XYLITOL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5AFEE0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구강관리제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94C765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04784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564A6C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11E058D4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8E7382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962F48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테트라소듐파이로포스페이트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44BF71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TETRASODIUM PYROPHOSPHATE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153CC5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</w:t>
            </w:r>
          </w:p>
          <w:p w:rsidR="006B4A19" w:rsidRPr="00132044" w:rsidP="00BB78A7" w14:paraId="26D2A6B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조절제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A53233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03423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27A88D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38EB4C3F" w14:textId="77777777" w:rsidTr="008558C9">
        <w:tblPrEx>
          <w:tblW w:w="0" w:type="auto"/>
          <w:tblLook w:val="04A0"/>
        </w:tblPrEx>
        <w:trPr>
          <w:trHeight w:val="94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6BC83B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917223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나트륨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78833B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F34622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7A70D6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01289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EB9CC9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“화장품안전기술규범” 사용 가능한 방부제(표4) 순번7</w:t>
            </w:r>
          </w:p>
        </w:tc>
      </w:tr>
      <w:tr w14:paraId="2C36A8FF" w14:textId="77777777" w:rsidTr="008558C9">
        <w:tblPrEx>
          <w:tblW w:w="0" w:type="auto"/>
          <w:tblLook w:val="04A0"/>
        </w:tblPrEx>
        <w:trPr>
          <w:trHeight w:val="190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5D8E32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C8E457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플루오르화나트륨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90B2C2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FLUORIDE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CAA038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효능 성분-충치 예방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15520D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----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9D99BB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“GB 22115-2008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치약용원료규범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치약 조성 중 사용 제한 성분(표4) 순번31은 치약에 첨가할 수 있음</w:t>
            </w:r>
          </w:p>
        </w:tc>
      </w:tr>
      <w:tr w14:paraId="23DA13D7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7FE146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96298F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수크랄로스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693809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SUCRALOSE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3B81B1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미각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개선제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8F4D23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05779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332830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7AEF8B6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037E69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B95ED4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멘톨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1BC55A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MENTHOL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12F750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미각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개선제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4A9B40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01225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D6C882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6B4A19" w:rsidRPr="00132044" w:rsidP="008558C9" w14:paraId="5E8823B9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7CF6698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1"/>
        <w:gridCol w:w="3874"/>
        <w:gridCol w:w="2588"/>
      </w:tblGrid>
      <w:tr w14:paraId="4C3B1E15" w14:textId="77777777" w:rsidTr="008558C9">
        <w:tblPrEx>
          <w:tblW w:w="0" w:type="auto"/>
          <w:tblLook w:val="04A0"/>
        </w:tblPrEx>
        <w:trPr>
          <w:trHeight w:val="623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A9FAEC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B0024A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F8A6B1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14:paraId="525076F1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2FDE57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158FE4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SORBITOL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E1F501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699C7FE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3EFEDA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67D851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867F11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619EB82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49A28A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하이드레이티드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실리카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91740A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HYDRATED SILICA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C18FFC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8505A8D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B6CAF1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3870A6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EA62E7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CE19CDF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DAEA13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폴리에틸렌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-8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F6BE4E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PEG-8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939E3B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348DFA2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64C1C7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라우릴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설페이트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0ECA1A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LAURYL SULFATE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103365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D9C5999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DB8018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셀룰로오스 검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71F49F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CELLULOSE GUM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664A1B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AA2B511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22608F1" w14:textId="68BC6E5A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831CE8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FLAVOR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9CD0E1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68B0DC8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F091AC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자일리톨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B560B3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XYLITOL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EF8B6D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1013101" w14:textId="77777777" w:rsidTr="008558C9">
        <w:tblPrEx>
          <w:tblW w:w="0" w:type="auto"/>
          <w:tblLook w:val="04A0"/>
        </w:tblPrEx>
        <w:trPr>
          <w:trHeight w:val="765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F9C639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테트라소듐파이로포스페이트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DA43DB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TETRASODIUM PYROPHOSPHATE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0E15ED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FB0C7D0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5C1E2B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A23107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E3AC55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5BBEB9B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BEE350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플루오르화나트륨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C76204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FLUORIDE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AC1BEA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C7301ED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54A521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수크랄로스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F3CA38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SUCRALOSE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45999E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D937670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31D98F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멘톨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183357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MENTHOL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1A622D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:rsidR="006B4A19" w:rsidRPr="00132044" w:rsidP="008558C9" w14:paraId="6D33628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6758C071" w14:textId="7B167AB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설계 원칙</w:t>
      </w:r>
    </w:p>
    <w:p w:rsidR="006B4A19" w:rsidRPr="00132044" w:rsidP="008558C9" w14:paraId="52DBADC1" w14:textId="4F6C4C6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어린이가 사용하는 구강 청결 관리 제품으로, 효능은 충치 예방과 치아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청결이다.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설계는 “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어린이 화장품 감독관리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규정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원칙에 부합한다.</w:t>
      </w:r>
    </w:p>
    <w:p w:rsidR="006B4A19" w:rsidRPr="00132044" w:rsidP="008558C9" w14:paraId="50A5A4DF" w14:textId="45F02CC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장기적으로 안전하고 규정에 부합하며 사용 이력이 긴 치약 상용 원료를 엄선하였으며, 기본 기능과 충치 예방 효능을 넘어서는 기타 효능 성분을 사용하지 않았다. 기타 성분을 첨가하는 목적은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안전성과 완전성을 유지하기 위해서다. 선택하여 사용한 원료는 모두 엄격한 검사를 거쳤으며, 관련 품질 규격의 지표 요건에 검사 결과가 부합함을 보장한다.</w:t>
      </w:r>
    </w:p>
    <w:p w:rsidR="006B4A19" w:rsidRPr="00132044" w:rsidP="008558C9" w14:paraId="7DB2DE18" w14:textId="4A8DE851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기능은 충치 예방, 치아 세정이며,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이 두 가지 기능을 넘어서는 기타 효능 첨가 성분을 사용하지 않았다(필요한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유화제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안정제 제외).</w:t>
      </w:r>
    </w:p>
    <w:p w:rsidR="006B4A19" w:rsidRPr="00132044" w:rsidP="008558C9" w14:paraId="51FF2BD0" w14:textId="4B3F6BAB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자일리톨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테트라소듐파이로포스페이트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성분을 이용하여 충치를 효과적으로 예방하고 치아를 세정하여 어린이의 구강 건강을 보호할 수 있다. 본 제품에 첨가된 딸기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라우릴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성분은 거품과 향 타입 측면에서 양호한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식감을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부여하여 어린이가 건전한 양치 습관을 갖도록 지도하는데 유리하다.</w:t>
      </w:r>
    </w:p>
    <w:p w:rsidR="006B4A19" w:rsidRPr="00132044" w:rsidP="008558C9" w14:paraId="4540B662" w14:textId="0E57F44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사카린 나트륨,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니파긴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에스테르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부작용을 유발할 수 있는 원료를 첨가하지 않았다.</w:t>
      </w:r>
    </w:p>
    <w:p w:rsidR="006B4A19" w:rsidRPr="00132044" w:rsidP="008558C9" w14:paraId="5EA1B60D" w14:textId="31AF848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펌프식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포장재에 적용하며,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프레임 전용 설계를 통해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페이스트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특유의 유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동학적 특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성을 구현한다. </w:t>
      </w:r>
    </w:p>
    <w:p w:rsidR="006B4A19" w:rsidRPr="00132044" w:rsidP="006B4A19" w14:paraId="7CD1F280" w14:textId="5744309D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평가</w:t>
      </w:r>
    </w:p>
    <w:p w:rsidR="006B4A19" w:rsidRPr="00132044" w:rsidP="008558C9" w14:paraId="1D511A4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물의 혼합물</w:t>
      </w:r>
    </w:p>
    <w:p w:rsidR="006B4A19" w:rsidRPr="00132044" w:rsidP="008558C9" w14:paraId="4B69E059" w14:textId="2E4977C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미국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화장품원료검토위원회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(CIR) 평가 결과에 따르면 농도가 70% 이하인 경우, 해당 원료는 삼킬 가능성(Incidental Ingestion)이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[4]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37D085E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물, 본 제품이 사용한 물은 국가 음용수 표준에 부합하며 안전 위험은 없다.</w:t>
      </w:r>
    </w:p>
    <w:p w:rsidR="006B4A19" w:rsidRPr="00132044" w:rsidP="008558C9" w14:paraId="55ADEB5F" w14:textId="08B61D8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2번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하이드레이티드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실리카, CIR 평가 결과에 따르면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자극성이 없고 농도가 33.8%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[5]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제품의 구강 점막 자극 시험에서 반응도는 자극 없음으로 나타났다.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0C2B906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3번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제품이 사용한 물은 국가 음용수 표준에 부합하며 안전 위험은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없다.</w:t>
      </w:r>
    </w:p>
    <w:p w:rsidR="006B4A19" w:rsidRPr="00132044" w:rsidP="008558C9" w14:paraId="7E4F80AD" w14:textId="0579E3A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4번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글리세린, CIR 평가 결과에 따르면 농도가 68.6%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[6]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허용 가능한 범위 내에 있다. </w:t>
      </w:r>
    </w:p>
    <w:p w:rsidR="006B4A19" w:rsidRPr="00132044" w:rsidP="008558C9" w14:paraId="4B087511" w14:textId="44746270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5번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폴리에틸렌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-8, CIR 평가 결과에 따르면 농도가 3% 이하인 경우, 해당 원료를 치약에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[7]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허용 가능한 범위 내에 있다. </w:t>
      </w:r>
    </w:p>
    <w:p w:rsidR="006B4A19" w:rsidRPr="00132044" w:rsidP="008558C9" w14:paraId="1E7FEFB5" w14:textId="243D2DB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6번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라우릴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CIR 평가 결과에 따르면 농도가 8% 이하인 경우, 해당 원료를 치약에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[8]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2D1BC720" w14:textId="252A922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7번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셀룰로오스 검, CIR 평가 결과에 따르면 농도가 3% 이하인 경우, 해당 원료를 치약에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[9]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1DB2DE55" w14:textId="3935D6C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8번 원료: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제품에 사용하는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="00A0169C">
        <w:rPr>
          <w:rFonts w:asciiTheme="minorEastAsia" w:hAnsiTheme="minorEastAsia" w:cs="굴림"/>
          <w:color w:val="000000"/>
          <w:kern w:val="0"/>
          <w:sz w:val="24"/>
          <w:szCs w:val="24"/>
        </w:rPr>
        <w:t>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IFRA증서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132044" w:rsidP="008558C9" w14:paraId="72083632" w14:textId="234BC60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9번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자일리톨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CIR 평가 결과에 따르면 농도가 14%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[4]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40141BC4" w14:textId="450ACF6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10번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테트라소듐파이로포스페이트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CIR 평가 결과에 따르면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자극성이 없고 농도가 2% 이하인 경우, 해당 원료는 삼킬 가능성이 있는 화장품에 사용해도 안전하다.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[10]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제품의 구강 점막 자극 시험에서 반응도는 자극 없음으로 나타났다.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5E7A14E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11번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“GB 22115-2008 치약용 원료 규범” 표5 치약 중 허용 방부제 규정에 의거하여,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및 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염류와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에스테르류의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사용한도는 0.5%(산으로 계산)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[3]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해당 원료의 첨가량은 xxx%로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0C81C96D" w14:textId="6507F92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12번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“GB 22115-2008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치약용원료규범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 표4 치약 조성 중 사용제한 성분 규정에 의거하여,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사용한도는 0.15%(F로 계산)이고, 사용하도록 허용된 기타 플루오르화물과 혼합 시 총F 농도는 0.15%를 초과하면 안된다. 또한 라벨에 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함유”라고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표기해야 한다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[3]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첨가량은 xxx%이고, 불소 농도는 xxx%로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 가능한 범위 내에 있다.</w:t>
      </w:r>
    </w:p>
    <w:p w:rsidR="006B4A19" w:rsidRPr="00132044" w:rsidP="008558C9" w14:paraId="6A1921B4" w14:textId="0E6296C1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13번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스쿠랄로스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CIR 평가 결과에 따르면 농도가 1.2%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[11]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612EDEB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14번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(MENTHOL), “식품안전국가표준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식품첨가제사용표준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”(GB 2760-2014) 규정에 따라 천연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(l-Menthol, natural)은 식품용 합성 향료로 사용할 수 있다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[12]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증빙자료에 따르면, 해당 원료는 안전한 식용이 가능하며 부록1을 참조한다. 해당 원료는 식품 생산 허가증(천연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포함)이 있는 식품 생산 기업이 생산하며 제품은 “식품안전국가표준 식품첨가제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천연박하뇌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”(GB 1886.199-2016) 표준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해당 원료의 첨가량은 xxx%이며, 본 제품의 구강 점막 자극 시험에서 반응도는 자극 없음으로 나타났다.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6B4A19" w14:paraId="5E220025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 수 있는 위험물질의 안전성 평가</w:t>
      </w:r>
    </w:p>
    <w:p w:rsidR="006B4A19" w:rsidRPr="00132044" w:rsidP="008558C9" w14:paraId="596C6F18" w14:textId="418E233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안전성 평가 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기술지침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과학적 인지 수준을 바탕으로 화장품 원료의 투입, 생산 과정 중 발생하거나 유입될 수 있는 위험 물질을 평가하며 결과는 다음과 같다. </w:t>
      </w:r>
    </w:p>
    <w:p w:rsidR="006B4A19" w:rsidRPr="00132044" w:rsidP="008558C9" w14:paraId="2FEEDBE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생산은 국가 관련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부합하며, 생산 과정과 제품 포장 재료를 엄격히 관리하고 통제한다.</w:t>
      </w:r>
    </w:p>
    <w:p w:rsidR="006B4A19" w:rsidRPr="00132044" w:rsidP="008558C9" w14:paraId="79766A1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 존재할 수 있는 안전성 위험 물질은 기술적으로 피할 수 없고, 원료가 투입되면서 발생하는 불순물이다. 잔류한 미량의 불순물은 정상적이고 합리적인 사용조건에서 인체 건강에 해를 끼치지 않는다. 제품 안전성 위험 물질 위해 식별표는 표3을 참조한다.</w:t>
      </w:r>
    </w:p>
    <w:p w:rsidR="006B4A19" w:rsidRPr="00132044" w:rsidP="008558C9" w14:paraId="4ED08091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표3 화장품 중 안전성 위험 물질 위해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6"/>
        <w:gridCol w:w="2134"/>
        <w:gridCol w:w="5089"/>
      </w:tblGrid>
      <w:tr w14:paraId="3B678184" w14:textId="77777777" w:rsidTr="008558C9">
        <w:tblPrEx>
          <w:tblW w:w="0" w:type="auto"/>
          <w:tblLook w:val="04A0"/>
        </w:tblPrEx>
        <w:trPr>
          <w:trHeight w:val="805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FE12BE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중문명칭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C5DB54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 물질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2002A6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14:paraId="24772F9D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CE0857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C6CD7E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6A3C98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306E5737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B6A5F4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AD5AD9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27227D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51970D14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414AE1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하이드레이티드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실리카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867DC1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373EEA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30E2631F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ADD89A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FF6161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F861AE" w14:paraId="6EBA756D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 중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별첨3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미생물과 물리화학 검사항목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이하이어야 한다.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함량은 0.0020% 미만이고,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미만으로 안전성 위험이 없으며 부록7을 참조한다.</w:t>
            </w:r>
          </w:p>
          <w:p w:rsidR="006B4A19" w:rsidRPr="00132044" w:rsidP="00F861AE" w14:paraId="0237C738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별첨3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미생물과 물리화학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검사항목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”에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이텔린글리콜의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이하이어야 한다.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에텔린글리콜의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함량은 0.011%이고,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미만이므로 안전성 위험이 없으며 부록7을 참조한다.</w:t>
            </w:r>
          </w:p>
        </w:tc>
      </w:tr>
      <w:tr w14:paraId="708895BA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801637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폴리에틸렌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-8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850EC5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F861AE" w14:paraId="0386F2D0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별첨3 “치약등록 미생물과 물리화학 검사항목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합이 0.1% 이하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함량이 0.0020% 미만,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합이 0.1% 미만이므로 안전성 위험이 없으며 부록7을 참조한다. </w:t>
            </w:r>
          </w:p>
          <w:p w:rsidR="006B4A19" w:rsidRPr="00132044" w:rsidP="00F861AE" w14:paraId="6B1DD40D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별첨3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미생물과 물리화학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검사항목요건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이하다.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함량은 0.011%이고,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다이에텔렌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합이 0.1% 미만으로 안전성 위험이 없으며 부록9를 참조한다.</w:t>
            </w:r>
          </w:p>
          <w:p w:rsidR="006B4A19" w:rsidRPr="00132044" w:rsidP="00BB78A7" w14:paraId="725CE34A" w14:textId="2A46825F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화장품 완제품 중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”(2015판) 제1장 &lt;개괄&gt;의 표2 “화장품 유해물질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한도값”의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30mg/kg 미만이어야 한다.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잔류농도는 이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부합하며 부록7을 참조한다.</w:t>
            </w:r>
          </w:p>
        </w:tc>
      </w:tr>
      <w:tr w14:paraId="6463B263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2E4E68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라우릴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설페이트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26D6AF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AAC707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769CACB7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FBF776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셀룰로오스 검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F54726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5B6886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691E87E4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39AD0B4" w14:textId="13F2BD9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5457CB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5CDF43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71D6206D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350329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자일리톨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6B1688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F03DA3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2DA66B7E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EA6F04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테트라소듐파이로포스페이트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55BD4C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EFF27C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07895E12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47684F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1D7901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5BF50B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682F1881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BEA923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플루오르화나트륨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0F8DC6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62BC4F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217AD639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1CC0D9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스쿠랄로스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C3235F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D4C418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3F0987A2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0791E0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멘톨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182AE4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D65375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</w:tbl>
    <w:p w:rsidR="006B4A19" w:rsidRPr="00132044" w:rsidP="008558C9" w14:paraId="6BA5291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A255B8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결과가 “치약등록자료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관리규정발표 및 실시에 관한 공고” (2023년 제148호) 별첨3 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미생물과 물리화학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검사항목요건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한계값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보여준다.</w:t>
      </w:r>
    </w:p>
    <w:p w:rsidR="006B4A19" w:rsidRPr="00132044" w:rsidP="006B4A19" w14:paraId="46340DC0" w14:textId="1CA3F814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132044" w:rsidP="008558C9" w14:paraId="560046D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어린이 치약으로, 어린이의 구강 및 치아 세정에 사용한다. 용량은 약 완두콩 크기이며, 양치 후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내고 사용 후 입을 헹군다. 하루 2회 양치한다.</w:t>
      </w:r>
    </w:p>
    <w:p w:rsidR="006B4A19" w:rsidRPr="00132044" w:rsidP="008558C9" w14:paraId="63AA292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제품에 표기된 안전 경고문:</w:t>
      </w:r>
    </w:p>
    <w:p w:rsidR="006B4A19" w:rsidRPr="00132044" w:rsidP="008558C9" w14:paraId="11FA8E5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주의사항: 성인의 지도하에 본 제품을 이용해 양치하도록 하며, 삼키지 않도록 주의해야 합니다. 본 제품은 먹을 수 없습니다. 본 제품은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함유합니다.</w:t>
      </w:r>
    </w:p>
    <w:p w:rsidR="006B4A19" w:rsidRPr="00132044" w:rsidP="006B4A19" w14:paraId="5433AE7E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132044" w:rsidP="008558C9" w14:paraId="5DBA008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어린이 치약(구강 관리용품)으로, 어린이의 구강과 치아 세정에 사용되며, 용량은 약 완두콩 크기다. 양치 후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내고 사용 후에 입을 헹군다. 매일 2회 양치한다. 주요 노출 방식은 구강 점막을 통한 흡수나 삼켜서 섭취하는 것으로, 제품의 특성에 근거하여 본 제품의 노출 평가는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경점막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노출과 경구 노출 경로를 고려한다.</w:t>
      </w:r>
    </w:p>
    <w:p w:rsidR="006B4A19" w:rsidRPr="00132044" w:rsidP="008558C9" w14:paraId="43B2EBF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다양한 측면을 종합적으로 평가해 다음과 같은 결론을 도출한다.</w:t>
      </w:r>
    </w:p>
    <w:p w:rsidR="006B4A19" w:rsidRPr="00132044" w:rsidP="006B4A19" w14:paraId="42137A63" w14:textId="3410D1D5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결과, 모든 성분은 본 제품 농도에서 인체 건강에 해를 끼치지 않는다.</w:t>
      </w:r>
    </w:p>
    <w:p w:rsidR="006B4A19" w:rsidRPr="00132044" w:rsidP="006B4A19" w14:paraId="004AF405" w14:textId="77777777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 수 있는 안전성 위험 물질 측정 및 평가 결과, 인체 건강에 해를 끼치지 않는다.</w:t>
      </w:r>
    </w:p>
    <w:p w:rsidR="006B4A19" w:rsidRPr="00132044" w:rsidP="006B4A19" w14:paraId="5680254D" w14:textId="7D681E21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방부효능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결과: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RPr="00132044" w:rsidP="006B4A19" w14:paraId="0D23F1BD" w14:textId="365A8091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미생물 검사 결과, 해당 제품 미생물은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:rsidR="006B4A19" w:rsidRPr="00132044" w:rsidP="006B4A19" w14:paraId="36FD9DB4" w14:textId="1528A9C9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 측정 결과, 해당 제품 유해물질 함량은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:rsidR="006B4A19" w:rsidRPr="00132044" w:rsidP="006B4A19" w14:paraId="3A97C527" w14:textId="4F81F788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결과: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RPr="00132044" w:rsidP="006B4A19" w14:paraId="6B733CEF" w14:textId="10CBE3FB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결과: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 </w:t>
      </w:r>
    </w:p>
    <w:p w:rsidR="006B4A19" w:rsidRPr="00132044" w:rsidP="006B4A19" w14:paraId="3EF59FE0" w14:textId="77777777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구강 점막 자극성 시험 결과, 반응도는 자극 없음으로 나타났다.</w:t>
      </w:r>
    </w:p>
    <w:p w:rsidR="006B4A19" w:rsidRPr="00132044" w:rsidP="006B4A19" w14:paraId="7003225F" w14:textId="40A3FBEB">
      <w:pPr>
        <w:numPr>
          <w:ilvl w:val="0"/>
          <w:numId w:val="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성분사이에서 유해한 상호작용을 예측하지 못했다. </w:t>
      </w:r>
    </w:p>
    <w:p w:rsidR="006B4A19" w:rsidRPr="00132044" w:rsidP="008558C9" w14:paraId="434A9A16" w14:textId="21AFD21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요약하면, 치약 중 각 원료와 존재할 수 있는 위험 물질의 안전성 평가를 실시한 후 치약 미생물과 유해물질의 측정 결과,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 및 제정한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등과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 명확한 제품 안전성 평가 결론을 도출하였고 제품이 정상적이고 합리적이며 예측 가능한 사용 조건에서 인체 건강에 해를 끼치지 않음을 확인하였다.</w:t>
      </w:r>
    </w:p>
    <w:p w:rsidR="006B4A19" w:rsidRPr="00132044" w:rsidP="008558C9" w14:paraId="20061656" w14:textId="2936AAF0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안전성 평가 자료는 현재 인지 수준을 바탕으로, 기존 과학 데이터와 관련 정보를 기반으로 작성하였으며,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인은 안전성 평가 자료의 객관성, 진실성, 정확성을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하고, 과학성, 추적성 요건을 충족하여 제품의 품질 안전에 법적 책임을 부담한다. 새로운 과학 기술이 발견되거나 출시 후 부작용 모니터링 데이터가 발생해 제품의 안전성에 대한 인식의 변화가 있을 경우 또는 제품에 결함이 존재할 가능성을 나타내는 기타 증거가 있을 경우, 등록인은 적절한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 취한다.</w:t>
      </w:r>
    </w:p>
    <w:p w:rsidR="006B4A19" w:rsidRPr="00132044" w:rsidP="006B4A19" w14:paraId="24939AA4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평가자의 서명 </w:t>
      </w:r>
    </w:p>
    <w:p w:rsidR="006B4A19" w:rsidRPr="00132044" w:rsidP="008558C9" w14:paraId="4DA03E4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:rsidR="006B4A19" w:rsidRPr="00132044" w:rsidP="008558C9" w14:paraId="1782D6B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:rsidR="006B4A19" w:rsidRPr="00132044" w:rsidP="008558C9" w14:paraId="1173A33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:rsidR="006B4A19" w:rsidRPr="00132044" w:rsidP="006B4A19" w14:paraId="1C493712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21374C14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FD268F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6115A6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2C6856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성별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4F9762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73419563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16E69D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3E031E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AE6627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전공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35C9EB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5373CB28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60CFF0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BA0D0B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090BCCFE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C458CB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334BB8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7DCBBF3C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4C3EBA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B34A5D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0B0987C1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C746A9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929FE3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</w:tbl>
    <w:p w:rsidR="006B4A19" w:rsidRPr="00132044" w:rsidP="008558C9" w14:paraId="07A9A473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12167F23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132044" w:rsidP="006B4A19" w14:paraId="04180D67" w14:textId="0E0A4F1F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국가식품약품감독관리총국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:rsidR="006B4A19" w:rsidRPr="00132044" w:rsidP="006B4A19" w14:paraId="29C6D7ED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국가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식품약품감독관리총국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기사용화장품원료목록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(2021년판)” 발표에 관한 공고, 2021년 제62호</w:t>
      </w:r>
    </w:p>
    <w:p w:rsidR="006B4A19" w:rsidRPr="00132044" w:rsidP="006B4A19" w14:paraId="4C5658B8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중화인민공화국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국가질량감독점검검역총국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중국국가표준화관리위원회. 치약용 원료규범: GB 22115—2008. 중국표준출판사, 2008:1</w:t>
      </w:r>
    </w:p>
    <w:p w:rsidR="006B4A19" w:rsidRPr="00132044" w:rsidP="006B4A19" w14:paraId="27965879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Mannitol, Sorbitol, and Xylitol as Used in Cosmetics. Final Report 12/2019 Available from CIR</w:t>
      </w:r>
    </w:p>
    <w:p w:rsidR="006B4A19" w:rsidRPr="00132044" w:rsidP="006B4A19" w14:paraId="4DCCD453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Amended Safety Assessment of Synthetically- Manufactured Amorphous Silica and Hydrated Silica as Used in Cosmetics. Final Report 09/2019 Available from CIR</w:t>
      </w:r>
    </w:p>
    <w:p w:rsidR="006B4A19" w:rsidRPr="00132044" w:rsidP="006B4A19" w14:paraId="45FA6119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Glycerin as Used in Cosmetics. International Journal of Toxicology, 2019, 38(Suppl. 3): 6-22</w:t>
      </w:r>
    </w:p>
    <w:p w:rsidR="006B4A19" w:rsidRPr="00132044" w:rsidP="006B4A19" w14:paraId="316BD9F8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Amended Safety Assessment of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Triethylene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Glycol and Polyethylene Glycols (PEGs)-4, -6, -7, -8, -9, -10, -12, -14, -16, -18, -20, -32, -33, -40, -45, -55, -60, -75, -80, -90, -100, -135, -150, -180, -200, -220, -240, -350, -400, -450, -500, -800, -2M, -5M, -7M, -9M, -14M, -20M, -23M, -25M, -45M, -65M, -90M, -115M, -160M and -180M and any PEGs ≥ 4 as used in Cosmetics. Final Report 06/2010 Available from CIR</w:t>
      </w:r>
    </w:p>
    <w:p w:rsidR="006B4A19" w:rsidRPr="00132044" w:rsidP="006B4A19" w14:paraId="1195C96D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Annual Review of Cosmetic Ingredient Safety Assessments - 2002/2003. International Journal of Toxicology, 2005, 24(Suppl. 1): 1-102</w:t>
      </w:r>
    </w:p>
    <w:p w:rsidR="006B4A19" w:rsidRPr="00132044" w:rsidP="006B4A19" w14:paraId="3A5D1544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Amended Safety Assessment of Cellulose and Related Polymers as used in Cosmetics. Final Report 03/2009 Available from CIR</w:t>
      </w:r>
    </w:p>
    <w:p w:rsidR="006B4A19" w:rsidRPr="00132044" w:rsidP="006B4A19" w14:paraId="2005B429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Phosphoric Acid and Its Salts as Used in Cosmetics. International Journal of Toxicology, 2021, 10(Suppl. 1): 34-85</w:t>
      </w:r>
    </w:p>
    <w:p w:rsidR="006B4A19" w:rsidRPr="00132044" w:rsidP="006B4A19" w14:paraId="15DD564C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Monosaccharides, Disaccharides, and Related Ingredients as Used in Cosmetics. International Journal of Toxicology, 2019, 38(Suppl. 1): 5-38</w:t>
      </w:r>
    </w:p>
    <w:p w:rsidR="006B4A19" w:rsidRPr="00132044" w:rsidP="006B4A19" w14:paraId="67446D6F" w14:textId="77777777">
      <w:pPr>
        <w:numPr>
          <w:ilvl w:val="0"/>
          <w:numId w:val="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국가위생계획출산위원회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“식품안전국가표준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식품첨가제사용표준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”(GB2760-2014) 등 37항 식품안전 국가표준 발표에 관한 공고, 2014년 제21호</w:t>
      </w:r>
    </w:p>
    <w:p w:rsidR="006B4A19" w:rsidRPr="00132044" w:rsidP="006B4A19" w14:paraId="472734A2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132044" w:rsidP="006B4A19" w14:paraId="461B079D" w14:textId="77777777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xxx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안전식용이력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증명서</w:t>
      </w:r>
    </w:p>
    <w:p w:rsidR="006B4A19" w:rsidRPr="00132044" w:rsidP="006B4A19" w14:paraId="15FFE6EF" w14:textId="77777777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품질규격 증명서</w:t>
      </w:r>
    </w:p>
    <w:p w:rsidR="006B4A19" w:rsidRPr="00132044" w:rsidP="006B4A19" w14:paraId="154B0A96" w14:textId="1A46B7DE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:rsidR="006B4A19" w:rsidRPr="00132044" w:rsidP="006B4A19" w14:paraId="7AE1D2F6" w14:textId="09667FA5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6B4A19" w14:paraId="44672998" w14:textId="561FD386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6B4A19" w14:paraId="44B37A5E" w14:textId="636B69C8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6B4A19" w14:paraId="346A534C" w14:textId="77777777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미생물, 유해물질,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에틸렌글리콜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측정 보고서(HGWT202400xxxx와 HGWT20240xxxx)</w:t>
      </w:r>
    </w:p>
    <w:p w:rsidR="006B4A19" w:rsidRPr="00132044" w:rsidP="006B4A19" w14:paraId="6E0A5AB5" w14:textId="77777777">
      <w:pPr>
        <w:numPr>
          <w:ilvl w:val="0"/>
          <w:numId w:val="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구강 점막 자극성의 검사 측정 보고서(HGWT2024 0xxxxx)</w:t>
      </w:r>
    </w:p>
    <w:p w:rsidR="006B4A19" w:rsidRPr="00132044" w:rsidP="008558C9" w14:paraId="1E46B24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19318C62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1CE34F7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부록4</w:t>
      </w:r>
    </w:p>
    <w:p w:rsidR="006B4A19" w:rsidRPr="00132044" w:rsidP="008558C9" w14:paraId="576D379D" w14:textId="12D42201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color w:val="000000"/>
          <w:sz w:val="32"/>
          <w:szCs w:val="3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평가</w:t>
      </w:r>
      <w:r w:rsidRPr="00132044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:rsidR="006B4A19" w:rsidRPr="00132044" w:rsidP="006B4A19" w14:paraId="13FB6DA3" w14:textId="77777777">
      <w:pPr>
        <w:numPr>
          <w:ilvl w:val="0"/>
          <w:numId w:val="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>
        <w:rPr>
          <w:rFonts w:asciiTheme="minorEastAsia" w:hAnsiTheme="minorEastAsia" w:cs="굴림" w:hint="eastAsia"/>
          <w:color w:val="000000"/>
          <w:sz w:val="22"/>
        </w:rPr>
        <w:t>xxxx</w:t>
      </w:r>
      <w:r>
        <w:rPr>
          <w:rFonts w:asciiTheme="minorEastAsia" w:hAnsiTheme="minorEastAsia" w:cs="굴림" w:hint="eastAsia"/>
          <w:color w:val="000000"/>
          <w:sz w:val="22"/>
        </w:rPr>
        <w:t xml:space="preserve"> 어린이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충치 예방 치약</w:t>
      </w:r>
    </w:p>
    <w:p w:rsidR="006B4A19" w:rsidRPr="00132044" w:rsidP="006B4A19" w14:paraId="2FA9B366" w14:textId="180F3563">
      <w:pPr>
        <w:numPr>
          <w:ilvl w:val="0"/>
          <w:numId w:val="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8558C9" w14:paraId="1C5417D7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61234707" w14:textId="351E505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2168D307" w14:textId="69D7CDFF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6B4A19" w14:paraId="4D747435" w14:textId="30DC7855">
      <w:pPr>
        <w:numPr>
          <w:ilvl w:val="0"/>
          <w:numId w:val="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6B4A19" w14:paraId="079AE5BB" w14:textId="77777777">
      <w:pPr>
        <w:numPr>
          <w:ilvl w:val="0"/>
          <w:numId w:val="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8558C9" w14:paraId="5C6BED8E" w14:textId="31124C78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</w:t>
      </w:r>
      <w:r>
        <w:rPr>
          <w:rFonts w:asciiTheme="minorEastAsia" w:hAnsiTheme="minorEastAsia" w:cs="굴림" w:hint="eastAsia"/>
          <w:color w:val="000000"/>
          <w:sz w:val="22"/>
        </w:rPr>
        <w:t>실시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했다. </w:t>
      </w:r>
      <w:r w:rsidR="00AF6FD0">
        <w:rPr>
          <w:rFonts w:asciiTheme="minorEastAsia" w:hAnsiTheme="minorEastAsia" w:cs="굴림" w:hint="eastAsia"/>
          <w:color w:val="000000"/>
          <w:sz w:val="22"/>
        </w:rPr>
        <w:t>현행 지식 수준에 근거할 때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AF6FD0">
        <w:rPr>
          <w:rFonts w:asciiTheme="minorEastAsia" w:hAnsiTheme="minorEastAsia" w:cs="굴림" w:hint="eastAsia"/>
          <w:color w:val="000000"/>
          <w:sz w:val="22"/>
        </w:rPr>
        <w:t xml:space="preserve">본 제품은 방부 효능이 우수하며, 소비자에게 잠재적인 </w:t>
      </w:r>
      <w:r w:rsidR="00D306B3">
        <w:rPr>
          <w:rFonts w:asciiTheme="minorEastAsia" w:hAnsiTheme="minorEastAsia" w:cs="굴림" w:hint="eastAsia"/>
          <w:color w:val="000000"/>
          <w:sz w:val="22"/>
        </w:rPr>
        <w:t>미생물 안전성 위험</w:t>
      </w:r>
      <w:r w:rsidR="00AF6FD0">
        <w:rPr>
          <w:rFonts w:asciiTheme="minorEastAsia" w:hAnsiTheme="minorEastAsia" w:cs="굴림" w:hint="eastAsia"/>
          <w:color w:val="000000"/>
          <w:sz w:val="22"/>
        </w:rPr>
        <w:t>을 초래할 것으로는 예견되지 않는다.</w:t>
      </w:r>
    </w:p>
    <w:p w:rsidR="006B4A19" w:rsidRPr="00132044" w:rsidP="008558C9" w14:paraId="33854A63" w14:textId="41DF353E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:rsidR="006B4A19" w:rsidRPr="00132044" w:rsidP="006B4A19" w14:paraId="1B837DBA" w14:textId="32DFFD1B">
      <w:pPr>
        <w:numPr>
          <w:ilvl w:val="0"/>
          <w:numId w:val="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1E7B002B" w14:textId="4D09A2AB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8558C9" w14:paraId="6FC242EA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A8E0E4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인(서명 날인)</w:t>
      </w:r>
    </w:p>
    <w:p w:rsidR="006B4A19" w:rsidRPr="00132044" w:rsidP="008558C9" w14:paraId="06C6C2FE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12332DC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50707BF8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0650ADE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부록5</w:t>
      </w:r>
    </w:p>
    <w:p w:rsidR="006B4A19" w:rsidRPr="00132044" w:rsidP="008558C9" w14:paraId="602CB529" w14:textId="133DB15D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color w:val="000000"/>
          <w:sz w:val="32"/>
          <w:szCs w:val="3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:rsidR="006B4A19" w:rsidRPr="00132044" w:rsidP="006B4A19" w14:paraId="2E2EC6DA" w14:textId="77777777">
      <w:pPr>
        <w:numPr>
          <w:ilvl w:val="0"/>
          <w:numId w:val="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>
        <w:rPr>
          <w:rFonts w:asciiTheme="minorEastAsia" w:hAnsiTheme="minorEastAsia" w:cs="굴림" w:hint="eastAsia"/>
          <w:color w:val="000000"/>
          <w:sz w:val="22"/>
        </w:rPr>
        <w:t>xxxx</w:t>
      </w:r>
      <w:r>
        <w:rPr>
          <w:rFonts w:asciiTheme="minorEastAsia" w:hAnsiTheme="minorEastAsia" w:cs="굴림" w:hint="eastAsia"/>
          <w:color w:val="000000"/>
          <w:sz w:val="22"/>
        </w:rPr>
        <w:t xml:space="preserve"> 어린이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충치 예방 치약</w:t>
      </w:r>
    </w:p>
    <w:p w:rsidR="006B4A19" w:rsidRPr="00132044" w:rsidP="006B4A19" w14:paraId="538F74AF" w14:textId="2DF5C25E">
      <w:pPr>
        <w:numPr>
          <w:ilvl w:val="0"/>
          <w:numId w:val="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417C2F19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132044" w:rsidP="008558C9" w14:paraId="54279D89" w14:textId="339FCEE2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</w:t>
      </w:r>
      <w:r>
        <w:rPr>
          <w:rFonts w:asciiTheme="minorEastAsia" w:hAnsiTheme="minorEastAsia" w:cs="굴림" w:hint="eastAsia"/>
          <w:color w:val="000000"/>
          <w:sz w:val="22"/>
        </w:rPr>
        <w:t>안전성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132044" w:rsidP="008558C9" w14:paraId="0ED3673D" w14:textId="1FA27413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6B4A19" w14:paraId="5F2C5A29" w14:textId="1CB1CCF4">
      <w:pPr>
        <w:numPr>
          <w:ilvl w:val="0"/>
          <w:numId w:val="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6B4A19" w14:paraId="438BD047" w14:textId="0FFAD104">
      <w:pPr>
        <w:numPr>
          <w:ilvl w:val="0"/>
          <w:numId w:val="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</w:t>
      </w:r>
      <w:r>
        <w:rPr>
          <w:rFonts w:asciiTheme="minorEastAsia" w:hAnsiTheme="minorEastAsia" w:cs="굴림" w:hint="eastAsia"/>
          <w:color w:val="000000"/>
          <w:sz w:val="22"/>
        </w:rPr>
        <w:t>안정성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합한 결과, 기존 지식 수준을 기반으로 정상적으로 예측 가능한 저장 조건에서 본 제품의 </w:t>
      </w:r>
      <w:r>
        <w:rPr>
          <w:rFonts w:asciiTheme="minorEastAsia" w:hAnsiTheme="minorEastAsia" w:cs="굴림" w:hint="eastAsia"/>
          <w:color w:val="000000"/>
          <w:sz w:val="22"/>
        </w:rPr>
        <w:t>안정성</w:t>
      </w:r>
      <w:r w:rsidRPr="006F0F7E">
        <w:rPr>
          <w:rFonts w:asciiTheme="minorEastAsia" w:hAnsiTheme="minorEastAsia" w:cs="굴림" w:hint="eastAsia"/>
          <w:color w:val="000000"/>
          <w:sz w:val="22"/>
        </w:rPr>
        <w:t>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:rsidR="006B4A19" w:rsidRPr="00132044" w:rsidP="006B4A19" w14:paraId="65C21785" w14:textId="02A6023C">
      <w:pPr>
        <w:numPr>
          <w:ilvl w:val="0"/>
          <w:numId w:val="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620D4073" w14:textId="261CF296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8558C9" w14:paraId="316E74A3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57D6A87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인(서명 날인)</w:t>
      </w:r>
    </w:p>
    <w:p w:rsidR="006B4A19" w:rsidRPr="00132044" w:rsidP="008558C9" w14:paraId="676CAAA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4EDC0BB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6AB9F153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7A6BDD6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부록6</w:t>
      </w:r>
    </w:p>
    <w:p w:rsidR="006B4A19" w:rsidRPr="00132044" w:rsidP="008558C9" w14:paraId="171AD4D3" w14:textId="4E1E4FB9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color w:val="000000"/>
          <w:sz w:val="32"/>
          <w:szCs w:val="3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132044" w:rsidP="006B4A19" w14:paraId="7B6372E6" w14:textId="77777777">
      <w:pPr>
        <w:numPr>
          <w:ilvl w:val="0"/>
          <w:numId w:val="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>
        <w:rPr>
          <w:rFonts w:asciiTheme="minorEastAsia" w:hAnsiTheme="minorEastAsia" w:cs="굴림" w:hint="eastAsia"/>
          <w:color w:val="000000"/>
          <w:sz w:val="22"/>
        </w:rPr>
        <w:t>xxxx</w:t>
      </w:r>
      <w:r>
        <w:rPr>
          <w:rFonts w:asciiTheme="minorEastAsia" w:hAnsiTheme="minorEastAsia" w:cs="굴림" w:hint="eastAsia"/>
          <w:color w:val="000000"/>
          <w:sz w:val="22"/>
        </w:rPr>
        <w:t xml:space="preserve"> 어린이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충치 예방 치약</w:t>
      </w:r>
    </w:p>
    <w:p w:rsidR="006B4A19" w:rsidRPr="00132044" w:rsidP="006B4A19" w14:paraId="313BD000" w14:textId="24081FB1">
      <w:pPr>
        <w:numPr>
          <w:ilvl w:val="0"/>
          <w:numId w:val="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5EA75FF2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5618BFD9" w14:textId="36FB1AC2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0E84C81E" w14:textId="110F1719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6B4A19" w14:paraId="16FDEA09" w14:textId="221784BE">
      <w:pPr>
        <w:numPr>
          <w:ilvl w:val="0"/>
          <w:numId w:val="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6B4A19" w14:paraId="26082B85" w14:textId="4B0DDFE1">
      <w:pPr>
        <w:numPr>
          <w:ilvl w:val="0"/>
          <w:numId w:val="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132044" w:rsidP="006B4A19" w14:paraId="227A5566" w14:textId="4AE25BAF">
      <w:pPr>
        <w:numPr>
          <w:ilvl w:val="0"/>
          <w:numId w:val="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4A2AF9DA" w14:textId="102E346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:rsidR="006B4A19" w:rsidRPr="00132044" w:rsidP="008558C9" w14:paraId="6DC00B3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B7A3F53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인(서명 날인)</w:t>
      </w:r>
    </w:p>
    <w:p w:rsidR="006B4A19" w:rsidRPr="00132044" w:rsidP="00F861AE" w14:paraId="1BDC3BFB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E94F4C" w:rsidP="008558C9" w14:paraId="69A24F5D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pgNumType w:start="1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